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 w:val="0"/>
        <w:jc w:val="center"/>
        <w:textAlignment w:val="baseline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《化妆品中</w:t>
      </w:r>
      <w:r>
        <w:rPr>
          <w:rFonts w:ascii="黑体" w:hAnsi="黑体" w:eastAsia="黑体" w:cs="Times New Roman"/>
          <w:kern w:val="2"/>
          <w:sz w:val="32"/>
          <w:szCs w:val="32"/>
        </w:rPr>
        <w:t>22种羟苯酯类防腐剂的检测</w:t>
      </w: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 xml:space="preserve"> </w:t>
      </w:r>
      <w:bookmarkStart w:id="2" w:name="_GoBack"/>
      <w:bookmarkEnd w:id="2"/>
      <w:r>
        <w:rPr>
          <w:rFonts w:hint="eastAsia" w:ascii="黑体" w:hAnsi="黑体" w:eastAsia="黑体" w:cs="Times New Roman"/>
          <w:kern w:val="2"/>
          <w:sz w:val="32"/>
          <w:szCs w:val="32"/>
        </w:rPr>
        <w:t>液相色谱</w:t>
      </w:r>
      <w:r>
        <w:rPr>
          <w:rFonts w:ascii="黑体" w:hAnsi="黑体" w:eastAsia="黑体" w:cs="Times New Roman"/>
          <w:kern w:val="2"/>
          <w:sz w:val="32"/>
          <w:szCs w:val="32"/>
        </w:rPr>
        <w:t>-质谱法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>》</w:t>
      </w:r>
    </w:p>
    <w:p>
      <w:pPr>
        <w:widowControl w:val="0"/>
        <w:adjustRightInd w:val="0"/>
        <w:jc w:val="center"/>
        <w:textAlignment w:val="baseline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编制说明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工作简况，包括标准主要起草单位、协作单位、主要起草人、简要起草过程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任务来源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2018年3月本标准经中国香料香精化妆品工业协会审议通过立项，通知见《关于2018年中国香料香精化妆品工业协会团体标准（第一批）立项公示的通知 》（香化协字[2018]11号）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起草单位与主要起草人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牵头起草单位：通标标准技术服务（上海）有限公司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起草成员：王卫、廖晓全、郁琼花、杨扬、王璐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参与起草单位：上海市食品药品检验所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起草成员：陈静、简龙海、许勇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参与起草单位：上海出入境检验检疫局动植物与食品检验检疫技术中心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起草成员：杨振宇、王粮子</w:t>
      </w:r>
    </w:p>
    <w:p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主要工作过程</w:t>
      </w:r>
    </w:p>
    <w:p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成立</w:t>
      </w:r>
      <w:r>
        <w:rPr>
          <w:rFonts w:ascii="Times New Roman" w:hAnsi="Times New Roman" w:cs="Times New Roman"/>
        </w:rPr>
        <w:t>标准</w:t>
      </w:r>
      <w:r>
        <w:rPr>
          <w:rFonts w:hint="eastAsia" w:ascii="Times New Roman" w:hAnsi="Times New Roman" w:cs="Times New Roman"/>
        </w:rPr>
        <w:t>工作组</w:t>
      </w:r>
    </w:p>
    <w:p>
      <w:pPr>
        <w:pStyle w:val="2"/>
        <w:shd w:val="clear" w:color="auto" w:fill="FFFFFF"/>
        <w:spacing w:before="0" w:beforeAutospacing="0" w:after="0" w:afterAutospacing="0"/>
        <w:ind w:left="108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接到</w:t>
      </w:r>
      <w:r>
        <w:rPr>
          <w:rFonts w:ascii="Times New Roman" w:hAnsi="Times New Roman" w:cs="Times New Roman"/>
        </w:rPr>
        <w:t>任务后，牵头起草单位成立标准编制工作组，</w:t>
      </w:r>
      <w:r>
        <w:rPr>
          <w:rFonts w:hint="eastAsia" w:ascii="Times New Roman" w:hAnsi="Times New Roman" w:cs="Times New Roman"/>
        </w:rPr>
        <w:t>指定</w:t>
      </w:r>
      <w:r>
        <w:rPr>
          <w:rFonts w:ascii="Times New Roman" w:hAnsi="Times New Roman" w:cs="Times New Roman"/>
        </w:rPr>
        <w:t>团体标准项目组组长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明确工作分工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标准研究</w:t>
      </w:r>
    </w:p>
    <w:p>
      <w:pPr>
        <w:pStyle w:val="2"/>
        <w:shd w:val="clear" w:color="auto" w:fill="FFFFFF"/>
        <w:spacing w:before="0" w:beforeAutospacing="0" w:after="0" w:afterAutospacing="0"/>
        <w:ind w:left="108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牵头</w:t>
      </w:r>
      <w:r>
        <w:rPr>
          <w:rFonts w:ascii="Times New Roman" w:hAnsi="Times New Roman" w:cs="Times New Roman"/>
        </w:rPr>
        <w:t>起草单位组织</w:t>
      </w:r>
      <w:r>
        <w:rPr>
          <w:rFonts w:hint="eastAsia" w:ascii="Times New Roman" w:hAnsi="Times New Roman" w:cs="Times New Roman"/>
        </w:rPr>
        <w:t>标准编制工作组开展</w:t>
      </w:r>
      <w:r>
        <w:rPr>
          <w:rFonts w:ascii="Times New Roman" w:hAnsi="Times New Roman" w:cs="Times New Roman"/>
        </w:rPr>
        <w:t>标准研究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标准验证</w:t>
      </w:r>
    </w:p>
    <w:p>
      <w:pPr>
        <w:pStyle w:val="2"/>
        <w:shd w:val="clear" w:color="auto" w:fill="FFFFFF"/>
        <w:spacing w:before="0" w:beforeAutospacing="0" w:after="0" w:afterAutospacing="0"/>
        <w:ind w:left="108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牵头起草单位</w:t>
      </w:r>
      <w:r>
        <w:rPr>
          <w:rFonts w:ascii="Times New Roman" w:hAnsi="Times New Roman" w:cs="Times New Roman"/>
        </w:rPr>
        <w:t>组织</w:t>
      </w:r>
      <w:r>
        <w:rPr>
          <w:rFonts w:hint="eastAsia" w:ascii="Times New Roman" w:hAnsi="Times New Roman" w:cs="Times New Roman"/>
        </w:rPr>
        <w:t>标准</w:t>
      </w:r>
      <w:r>
        <w:rPr>
          <w:rFonts w:ascii="Times New Roman" w:hAnsi="Times New Roman" w:cs="Times New Roman"/>
        </w:rPr>
        <w:t>编制工作组开展标准验证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标准编写</w:t>
      </w:r>
    </w:p>
    <w:p>
      <w:pPr>
        <w:pStyle w:val="2"/>
        <w:shd w:val="clear" w:color="auto" w:fill="FFFFFF"/>
        <w:spacing w:before="0" w:beforeAutospacing="0" w:after="0" w:afterAutospacing="0"/>
        <w:ind w:left="108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牵头</w:t>
      </w:r>
      <w:r>
        <w:rPr>
          <w:rFonts w:ascii="Times New Roman" w:hAnsi="Times New Roman" w:cs="Times New Roman"/>
        </w:rPr>
        <w:t>起草单位组织工作组充分讨论形成《标准草案征求意见稿》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hd w:val="clear" w:color="auto" w:fill="FFFFFF"/>
        <w:spacing w:before="0" w:beforeAutospacing="0" w:after="0" w:afterAutospacing="0"/>
        <w:ind w:left="108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参与起草单位</w:t>
      </w:r>
      <w:r>
        <w:rPr>
          <w:rFonts w:ascii="Times New Roman" w:hAnsi="Times New Roman" w:cs="Times New Roman"/>
        </w:rPr>
        <w:t>根据团体标准项目组组长安排，承担标准起草工作的分工任务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标准提交</w:t>
      </w:r>
    </w:p>
    <w:p>
      <w:pPr>
        <w:pStyle w:val="2"/>
        <w:shd w:val="clear" w:color="auto" w:fill="FFFFFF"/>
        <w:spacing w:before="0" w:beforeAutospacing="0" w:after="0" w:afterAutospacing="0"/>
        <w:ind w:left="108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牵头起草单位</w:t>
      </w:r>
      <w:r>
        <w:rPr>
          <w:rFonts w:ascii="Times New Roman" w:hAnsi="Times New Roman" w:cs="Times New Roman"/>
        </w:rPr>
        <w:t>提交标准审查申请表、送审稿、编制说明、征求意见汇总处理表及有关附件</w:t>
      </w:r>
      <w:r>
        <w:rPr>
          <w:rFonts w:hint="eastAsia" w:ascii="Times New Roman" w:hAnsi="Times New Roman" w:cs="Times New Roman"/>
        </w:rPr>
        <w:t>。</w:t>
      </w:r>
    </w:p>
    <w:p>
      <w:pPr>
        <w:pStyle w:val="2"/>
        <w:shd w:val="clear" w:color="auto" w:fill="FFFFFF"/>
        <w:spacing w:before="0" w:beforeAutospacing="0" w:after="0" w:afterAutospacing="0"/>
        <w:ind w:left="108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参与起草单位</w:t>
      </w:r>
      <w:r>
        <w:rPr>
          <w:rFonts w:ascii="Times New Roman" w:hAnsi="Times New Roman" w:cs="Times New Roman"/>
        </w:rPr>
        <w:t>协助牵头起草单位准备项目专家审查资料</w:t>
      </w:r>
      <w:r>
        <w:rPr>
          <w:rFonts w:hint="eastAsia" w:ascii="Times New Roman" w:hAnsi="Times New Roman" w:cs="Times New Roman"/>
        </w:rPr>
        <w:t>。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与我国有关法律法规和其他标准的关系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3"/>
        <w:tblW w:w="87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920"/>
        <w:gridCol w:w="39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784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《化妆品安全技术规范》（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2015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年版）禁用列表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羟苯异丙酯及其盐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Isopropyl 4-hydroxybenzoate (INCI: Isopropylparaben) Sodium salt or Salts of Isopropylparaben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羟苯异丁酯及其盐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Isobutyl 4-hydroxybenzoate (INCI: Isobutylparaben) Sodium salt or Salts of Isobutylparaben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羟苯苯酯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Phenyl 4-hydroxybenzoate (INCI: Phenylparaben)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羟苯苄酯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Benzyl 4-hydroxybenzoate (INCI: Benzylparaben)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羟苯戊酯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Pentyl 4-hydroxybenzoate (INCI: Pentylparaben)</w:t>
            </w:r>
          </w:p>
        </w:tc>
      </w:tr>
    </w:tbl>
    <w:p>
      <w:pPr>
        <w:pStyle w:val="7"/>
        <w:widowControl w:val="0"/>
        <w:adjustRightInd w:val="0"/>
        <w:spacing w:before="360" w:beforeLines="150" w:line="360" w:lineRule="auto"/>
        <w:ind w:left="420" w:firstLine="0" w:firstLineChars="0"/>
        <w:jc w:val="both"/>
        <w:textAlignment w:val="baseline"/>
        <w:rPr>
          <w:rFonts w:ascii="黑体" w:hAnsi="Arial" w:eastAsia="黑体" w:cs="Arial"/>
          <w:szCs w:val="21"/>
        </w:rPr>
      </w:pPr>
    </w:p>
    <w:tbl>
      <w:tblPr>
        <w:tblStyle w:val="3"/>
        <w:tblW w:w="87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920"/>
        <w:gridCol w:w="39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784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《化妆品安全技术规范》（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2015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年版）限用列表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4-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羟基苯甲酸及其盐类和酯类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4-Hydroxybenzoic acid and its salts and esters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</w:p>
        </w:tc>
        <w:tc>
          <w:tcPr>
            <w:tcW w:w="784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注：这类物质不包括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 xml:space="preserve"> 4-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羟基苯甲酸异丙酯（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isopropylparaben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）及其盐，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4-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羟基苯甲酸异丁酯（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isobutylparaben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）及其盐，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4-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羟基苯甲酸苯酯（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phenylparaben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），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>4-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羟基苯甲酸苄酯及其盐，</w:t>
            </w:r>
            <w: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  <w:t xml:space="preserve"> 4-</w:t>
            </w:r>
            <w:r>
              <w:rPr>
                <w:rFonts w:hint="eastAsia" w:cs="Times New Roman"/>
                <w:color w:val="000000"/>
                <w:sz w:val="22"/>
                <w:szCs w:val="22"/>
              </w:rPr>
              <w:t>羟基苯甲酸戊酯及其盐。</w:t>
            </w:r>
          </w:p>
        </w:tc>
      </w:tr>
    </w:tbl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《化妆品</w:t>
      </w:r>
      <w:r>
        <w:rPr>
          <w:rFonts w:ascii="Times New Roman" w:hAnsi="Times New Roman" w:cs="Times New Roman"/>
        </w:rPr>
        <w:t>安全技术规范</w:t>
      </w:r>
      <w:r>
        <w:rPr>
          <w:rFonts w:hint="eastAsia" w:ascii="Times New Roman" w:hAnsi="Times New Roman" w:cs="Times New Roman"/>
        </w:rPr>
        <w:t>》（2015年版）给出了12种</w:t>
      </w:r>
      <w:r>
        <w:rPr>
          <w:rFonts w:ascii="Times New Roman" w:hAnsi="Times New Roman" w:cs="Times New Roman"/>
        </w:rPr>
        <w:t>防腐剂</w:t>
      </w:r>
      <w:r>
        <w:rPr>
          <w:rFonts w:hint="eastAsia" w:ascii="Times New Roman" w:hAnsi="Times New Roman" w:cs="Times New Roman"/>
        </w:rPr>
        <w:t>含量</w:t>
      </w:r>
      <w:r>
        <w:rPr>
          <w:rFonts w:ascii="Times New Roman" w:hAnsi="Times New Roman" w:cs="Times New Roman"/>
        </w:rPr>
        <w:t>的测定方法，</w:t>
      </w:r>
      <w:r>
        <w:rPr>
          <w:rFonts w:hint="eastAsia" w:ascii="Times New Roman" w:hAnsi="Times New Roman" w:cs="Times New Roman"/>
        </w:rPr>
        <w:t>其中包括4</w:t>
      </w:r>
      <w:r>
        <w:rPr>
          <w:rFonts w:ascii="Times New Roman" w:hAnsi="Times New Roman" w:cs="Times New Roman"/>
        </w:rPr>
        <w:t>-羟基苯甲酸甲酯、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-羟基苯甲酸乙酯、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-羟基苯甲酸异丙酯、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-羟基苯甲酸丙酯、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-羟基苯甲酸异丁酯和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-羟基苯甲酸丁酯。</w:t>
      </w:r>
      <w:r>
        <w:rPr>
          <w:rFonts w:hint="eastAsia" w:ascii="Times New Roman" w:hAnsi="Times New Roman" w:cs="Times New Roman"/>
        </w:rPr>
        <w:t>原理</w:t>
      </w:r>
      <w:r>
        <w:rPr>
          <w:rFonts w:ascii="Times New Roman" w:hAnsi="Times New Roman" w:cs="Times New Roman"/>
        </w:rPr>
        <w:t>是样品中</w:t>
      </w:r>
      <w:r>
        <w:rPr>
          <w:rFonts w:hint="eastAsia" w:ascii="Times New Roman" w:hAnsi="Times New Roman" w:cs="Times New Roman"/>
        </w:rPr>
        <w:t>的12种</w:t>
      </w:r>
      <w:r>
        <w:rPr>
          <w:rFonts w:ascii="Times New Roman" w:hAnsi="Times New Roman" w:cs="Times New Roman"/>
        </w:rPr>
        <w:t>防腐剂组分经</w:t>
      </w:r>
      <w:r>
        <w:rPr>
          <w:rFonts w:hint="eastAsia" w:ascii="Times New Roman" w:hAnsi="Times New Roman" w:cs="Times New Roman"/>
        </w:rPr>
        <w:t>甲醇</w:t>
      </w:r>
      <w:r>
        <w:rPr>
          <w:rFonts w:ascii="Times New Roman" w:hAnsi="Times New Roman" w:cs="Times New Roman"/>
        </w:rPr>
        <w:t>提取，用高效液相色谱仪分析，根据保留时间和紫外光谱图定性，峰面积定量，以标准曲线法计算含量。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国外有关法律、法规和标准情况的说明</w:t>
      </w:r>
    </w:p>
    <w:tbl>
      <w:tblPr>
        <w:tblStyle w:val="3"/>
        <w:tblW w:w="87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920"/>
        <w:gridCol w:w="39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784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OLE_LINK1"/>
            <w:bookmarkStart w:id="1" w:name="OLE_LINK2"/>
            <w:r>
              <w:rPr>
                <w:rFonts w:hint="eastAsia"/>
                <w:color w:val="000000"/>
                <w:sz w:val="22"/>
                <w:szCs w:val="22"/>
              </w:rPr>
              <w:t>欧盟(</w:t>
            </w:r>
            <w:r>
              <w:rPr>
                <w:color w:val="000000"/>
                <w:sz w:val="22"/>
                <w:szCs w:val="22"/>
              </w:rPr>
              <w:t>EC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No 1223/2009</w:t>
            </w:r>
            <w:bookmarkEnd w:id="0"/>
            <w:bookmarkEnd w:id="1"/>
            <w:r>
              <w:rPr>
                <w:rFonts w:hint="eastAsia"/>
                <w:color w:val="000000"/>
                <w:sz w:val="22"/>
                <w:szCs w:val="22"/>
              </w:rPr>
              <w:t>禁用列表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羟苯异丙酯及其盐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Isopropyl 4-hydroxybenzoate (INCI: Isopropylparaben) Sodium salt or Salts of Isopropylparaben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羟苯异丁酯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Isobutyl 4-hydroxybenzoate (INCI: Isobutylparaben)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羟苯异丁酯盐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Sodium salt or Salts of Isobutylparaben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羟苯苯酯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Phenyl 4-hydroxybenzoate (INCI: Phenylparaben)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羟苯苄酯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Benzyl 4-hydroxybenzoate (INCI: Benzylparaben)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等线" w:cs="Times New Roman"/>
                <w:color w:val="000000"/>
                <w:sz w:val="22"/>
                <w:szCs w:val="22"/>
              </w:rPr>
            </w:pPr>
            <w:r>
              <w:rPr>
                <w:rFonts w:hint="eastAsia" w:cs="Times New Roman"/>
                <w:color w:val="000000"/>
                <w:sz w:val="22"/>
                <w:szCs w:val="22"/>
              </w:rPr>
              <w:t>羟苯戊酯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Pentyl 4-hydroxybenzoate (INCI: Pentylparaben)</w:t>
            </w:r>
          </w:p>
        </w:tc>
      </w:tr>
    </w:tbl>
    <w:p>
      <w:pPr>
        <w:rPr>
          <w:rFonts w:ascii="黑体" w:hAnsi="Arial" w:eastAsia="黑体" w:cs="Arial"/>
          <w:szCs w:val="21"/>
        </w:rPr>
      </w:pPr>
      <w:r>
        <w:rPr>
          <w:rFonts w:ascii="黑体" w:hAnsi="Arial" w:eastAsia="黑体" w:cs="Arial"/>
          <w:szCs w:val="21"/>
        </w:rPr>
        <w:br w:type="page"/>
      </w:r>
    </w:p>
    <w:tbl>
      <w:tblPr>
        <w:tblStyle w:val="3"/>
        <w:tblW w:w="87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920"/>
        <w:gridCol w:w="39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7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欧盟(</w:t>
            </w:r>
            <w:r>
              <w:rPr>
                <w:color w:val="000000"/>
                <w:sz w:val="22"/>
                <w:szCs w:val="22"/>
              </w:rPr>
              <w:t>EC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No 1223/2009</w:t>
            </w:r>
            <w:r>
              <w:rPr>
                <w:rFonts w:hint="eastAsia"/>
                <w:color w:val="000000"/>
                <w:sz w:val="22"/>
                <w:szCs w:val="22"/>
              </w:rPr>
              <w:t>限用列表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</w:t>
            </w: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 xml:space="preserve">4-Hydroxybenzoic acid    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羟基苯甲酸甲酯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methylparaben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尼泊金乙酯钾盐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potassium ethylparaben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羟基苯甲酸钾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potassium 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尼泊金甲酯钠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sodium methylparaben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尼泊金乙酯钠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sodium ethylparaben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羟基苯甲酸乙酯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ethylparaben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羟基苯甲酸钠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sodium 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羟基苯甲酸甲酯钾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potassium methylparaben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羟基苯甲酸钙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calcium 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羟基苯甲酸丁酯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 xml:space="preserve">Butylparaben   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羟基苯甲酸丙酯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 xml:space="preserve">propylparaben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尼泊金丙酯钠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sodium propylparaben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尼泊金丁酯钠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sodium butylparaben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羟基苯甲酸丁酯钾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potassium butylparaben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4-</w:t>
            </w:r>
            <w:r>
              <w:rPr>
                <w:rFonts w:hint="eastAsia" w:cs="Arial"/>
                <w:color w:val="000000"/>
                <w:sz w:val="22"/>
                <w:szCs w:val="22"/>
              </w:rPr>
              <w:t>羟基苯甲酸丙酯钾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eastAsia="等线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000000"/>
                <w:sz w:val="22"/>
                <w:szCs w:val="22"/>
              </w:rPr>
              <w:t>potassium propylparaben</w:t>
            </w:r>
          </w:p>
        </w:tc>
      </w:tr>
    </w:tbl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欧盟</w:t>
      </w:r>
      <w:r>
        <w:rPr>
          <w:rFonts w:ascii="Times New Roman" w:hAnsi="Times New Roman" w:cs="Times New Roman"/>
        </w:rPr>
        <w:t>委员会指令</w:t>
      </w:r>
      <w:r>
        <w:rPr>
          <w:rFonts w:hint="eastAsia" w:ascii="Times New Roman" w:hAnsi="Times New Roman" w:cs="Times New Roman"/>
        </w:rPr>
        <w:t>95/32/EC给出了</w:t>
      </w:r>
      <w:r>
        <w:rPr>
          <w:rFonts w:ascii="Times New Roman" w:hAnsi="Times New Roman" w:cs="Times New Roman"/>
        </w:rPr>
        <w:t>化妆品中苯甲酸、对-羟基苯甲酸、山梨酸、水杨酸和丙酸的测定方法</w:t>
      </w:r>
      <w:r>
        <w:rPr>
          <w:rFonts w:hint="eastAsia"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原理</w:t>
      </w:r>
      <w:r>
        <w:rPr>
          <w:rFonts w:hint="eastAsia"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试样酸化后，用乙醇和水的混合物提取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过滤，用高效液相色谱法测定</w:t>
      </w:r>
      <w:r>
        <w:rPr>
          <w:rFonts w:hint="eastAsia" w:ascii="Times New Roman" w:hAnsi="Times New Roman" w:cs="Times New Roman"/>
        </w:rPr>
        <w:t>各防腐剂</w:t>
      </w:r>
      <w:r>
        <w:rPr>
          <w:rFonts w:ascii="Times New Roman" w:hAnsi="Times New Roman" w:cs="Times New Roman"/>
        </w:rPr>
        <w:t>的含量。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标准的制（修）订与起草原则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《化妆品</w:t>
      </w:r>
      <w:r>
        <w:rPr>
          <w:rFonts w:ascii="Times New Roman" w:hAnsi="Times New Roman" w:cs="Times New Roman"/>
        </w:rPr>
        <w:t>安全技术规范</w:t>
      </w:r>
      <w:r>
        <w:rPr>
          <w:rFonts w:hint="eastAsia" w:ascii="Times New Roman" w:hAnsi="Times New Roman" w:cs="Times New Roman"/>
        </w:rPr>
        <w:t>》（2015年版）中</w:t>
      </w:r>
      <w:r>
        <w:rPr>
          <w:rFonts w:ascii="Times New Roman" w:hAnsi="Times New Roman" w:cs="Times New Roman"/>
        </w:rPr>
        <w:t>对</w:t>
      </w:r>
      <w:r>
        <w:rPr>
          <w:rFonts w:hint="eastAsia" w:ascii="Times New Roman" w:hAnsi="Times New Roman" w:cs="Times New Roman"/>
        </w:rPr>
        <w:t>羟苯酯类</w:t>
      </w:r>
      <w:r>
        <w:rPr>
          <w:rFonts w:ascii="Times New Roman" w:hAnsi="Times New Roman" w:cs="Times New Roman"/>
        </w:rPr>
        <w:t>防腐剂在化妆品中的使用，做出了明确的规定，有禁用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有限用。欧盟</w:t>
      </w:r>
      <w:r>
        <w:rPr>
          <w:rFonts w:hint="eastAsia" w:ascii="Times New Roman" w:hAnsi="Times New Roman" w:cs="Times New Roman"/>
        </w:rPr>
        <w:t>化妆品</w:t>
      </w:r>
      <w:r>
        <w:rPr>
          <w:rFonts w:ascii="Times New Roman" w:hAnsi="Times New Roman" w:cs="Times New Roman"/>
        </w:rPr>
        <w:t>法规</w:t>
      </w:r>
      <w:r>
        <w:rPr>
          <w:rFonts w:hint="eastAsia" w:ascii="Times New Roman" w:hAnsi="Times New Roman" w:cs="Times New Roman"/>
        </w:rPr>
        <w:t>（EC）No</w:t>
      </w:r>
      <w:r>
        <w:rPr>
          <w:rFonts w:ascii="Times New Roman" w:hAnsi="Times New Roman" w:cs="Times New Roman"/>
        </w:rPr>
        <w:t xml:space="preserve"> 1223</w:t>
      </w:r>
      <w:r>
        <w:rPr>
          <w:rFonts w:hint="eastAsia" w:ascii="Times New Roman" w:hAnsi="Times New Roman" w:cs="Times New Roman"/>
        </w:rPr>
        <w:t>/2009对22种</w:t>
      </w:r>
      <w:r>
        <w:rPr>
          <w:rFonts w:ascii="Times New Roman" w:hAnsi="Times New Roman" w:cs="Times New Roman"/>
        </w:rPr>
        <w:t>羟苯酯类防腐剂给出了明确的要求</w:t>
      </w:r>
      <w:r>
        <w:rPr>
          <w:rFonts w:hint="eastAsia"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但</w:t>
      </w:r>
      <w:r>
        <w:rPr>
          <w:rFonts w:hint="eastAsia" w:ascii="Times New Roman" w:hAnsi="Times New Roman" w:cs="Times New Roman"/>
        </w:rPr>
        <w:t>现有</w:t>
      </w:r>
      <w:r>
        <w:rPr>
          <w:rFonts w:ascii="Times New Roman" w:hAnsi="Times New Roman" w:cs="Times New Roman"/>
        </w:rPr>
        <w:t>的</w:t>
      </w:r>
      <w:r>
        <w:rPr>
          <w:rFonts w:hint="eastAsia" w:ascii="Times New Roman" w:hAnsi="Times New Roman" w:cs="Times New Roman"/>
        </w:rPr>
        <w:t>检测方法</w:t>
      </w:r>
      <w:r>
        <w:rPr>
          <w:rFonts w:ascii="Times New Roman" w:hAnsi="Times New Roman" w:cs="Times New Roman"/>
        </w:rPr>
        <w:t>中只包含</w:t>
      </w:r>
      <w:r>
        <w:rPr>
          <w:rFonts w:hint="eastAsia" w:ascii="Times New Roman" w:hAnsi="Times New Roman" w:cs="Times New Roman"/>
        </w:rPr>
        <w:t>6种</w:t>
      </w:r>
      <w:r>
        <w:rPr>
          <w:rFonts w:ascii="Times New Roman" w:hAnsi="Times New Roman" w:cs="Times New Roman"/>
        </w:rPr>
        <w:t>羟苯酯类防腐剂，这对检验化妆品中羟苯酯类防腐剂</w:t>
      </w:r>
      <w:r>
        <w:rPr>
          <w:rFonts w:hint="eastAsia"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合规性带来一定的困扰。因此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建立一个检测化妆品中</w:t>
      </w:r>
      <w:r>
        <w:rPr>
          <w:rFonts w:hint="eastAsia" w:ascii="Times New Roman" w:hAnsi="Times New Roman" w:cs="Times New Roman"/>
        </w:rPr>
        <w:t>22种</w:t>
      </w:r>
      <w:r>
        <w:rPr>
          <w:rFonts w:ascii="Times New Roman" w:hAnsi="Times New Roman" w:cs="Times New Roman"/>
        </w:rPr>
        <w:t>羟苯酯类防腐剂的方法，并使其目标化合物涵盖《</w:t>
      </w:r>
      <w:r>
        <w:rPr>
          <w:rFonts w:hint="eastAsia" w:ascii="Times New Roman" w:hAnsi="Times New Roman" w:cs="Times New Roman"/>
        </w:rPr>
        <w:t>化妆品</w:t>
      </w:r>
      <w:r>
        <w:rPr>
          <w:rFonts w:ascii="Times New Roman" w:hAnsi="Times New Roman" w:cs="Times New Roman"/>
        </w:rPr>
        <w:t>安全技术规范》</w:t>
      </w:r>
      <w:r>
        <w:rPr>
          <w:rFonts w:hint="eastAsia" w:ascii="Times New Roman" w:hAnsi="Times New Roman" w:cs="Times New Roman"/>
        </w:rPr>
        <w:t>及</w:t>
      </w:r>
      <w:r>
        <w:rPr>
          <w:rFonts w:ascii="Times New Roman" w:hAnsi="Times New Roman" w:cs="Times New Roman"/>
        </w:rPr>
        <w:t>欧盟标准，是必要且有</w:t>
      </w:r>
      <w:r>
        <w:rPr>
          <w:rFonts w:hint="eastAsia" w:ascii="Times New Roman" w:hAnsi="Times New Roman" w:cs="Times New Roman"/>
        </w:rPr>
        <w:t>意义</w:t>
      </w:r>
      <w:r>
        <w:rPr>
          <w:rFonts w:ascii="Times New Roman" w:hAnsi="Times New Roman" w:cs="Times New Roman"/>
        </w:rPr>
        <w:t>的。这将</w:t>
      </w:r>
      <w:r>
        <w:rPr>
          <w:rFonts w:hint="eastAsia" w:ascii="Times New Roman" w:hAnsi="Times New Roman" w:cs="Times New Roman"/>
        </w:rPr>
        <w:t>有助于</w:t>
      </w:r>
      <w:r>
        <w:rPr>
          <w:rFonts w:ascii="Times New Roman" w:hAnsi="Times New Roman" w:cs="Times New Roman"/>
        </w:rPr>
        <w:t>完善化妆品中羟苯酯类防腐剂的检测能力，</w:t>
      </w:r>
      <w:r>
        <w:rPr>
          <w:rFonts w:hint="eastAsia" w:ascii="Times New Roman" w:hAnsi="Times New Roman" w:cs="Times New Roman"/>
        </w:rPr>
        <w:t>同时</w:t>
      </w:r>
      <w:r>
        <w:rPr>
          <w:rFonts w:ascii="Times New Roman" w:hAnsi="Times New Roman" w:cs="Times New Roman"/>
        </w:rPr>
        <w:t>也为对化妆品防腐剂合规性的判定提供技术支持。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主要技术</w:t>
      </w:r>
      <w:r>
        <w:rPr>
          <w:rFonts w:ascii="Times New Roman" w:hAnsi="Times New Roman" w:cs="Times New Roman"/>
        </w:rPr>
        <w:t>内容为建立一个适用于上述多种化妆品中羟苯酯类防腐剂的快捷、准确的</w:t>
      </w:r>
      <w:r>
        <w:rPr>
          <w:rFonts w:hint="eastAsia" w:ascii="Times New Roman" w:hAnsi="Times New Roman" w:cs="Times New Roman"/>
        </w:rPr>
        <w:t>LC-MS检测方法</w:t>
      </w:r>
      <w:r>
        <w:rPr>
          <w:rFonts w:ascii="Times New Roman" w:hAnsi="Times New Roman" w:cs="Times New Roman"/>
        </w:rPr>
        <w:t>。使用</w:t>
      </w:r>
      <w:r>
        <w:rPr>
          <w:rFonts w:hint="eastAsia" w:ascii="Times New Roman" w:hAnsi="Times New Roman" w:cs="Times New Roman"/>
        </w:rPr>
        <w:t>该方法</w:t>
      </w:r>
      <w:r>
        <w:rPr>
          <w:rFonts w:ascii="Times New Roman" w:hAnsi="Times New Roman" w:cs="Times New Roman"/>
        </w:rPr>
        <w:t>，可以同时检测《</w:t>
      </w:r>
      <w:r>
        <w:rPr>
          <w:rFonts w:hint="eastAsia" w:ascii="Times New Roman" w:hAnsi="Times New Roman" w:cs="Times New Roman"/>
        </w:rPr>
        <w:t>化妆品</w:t>
      </w:r>
      <w:r>
        <w:rPr>
          <w:rFonts w:ascii="Times New Roman" w:hAnsi="Times New Roman" w:cs="Times New Roman"/>
        </w:rPr>
        <w:t>安全技术规范》</w:t>
      </w:r>
      <w:r>
        <w:rPr>
          <w:rFonts w:hint="eastAsia" w:ascii="Times New Roman" w:hAnsi="Times New Roman" w:cs="Times New Roman"/>
        </w:rPr>
        <w:t>（2015年版）和</w:t>
      </w:r>
      <w:r>
        <w:rPr>
          <w:rFonts w:ascii="Times New Roman" w:hAnsi="Times New Roman" w:cs="Times New Roman"/>
        </w:rPr>
        <w:t>欧盟要求限量使用或禁止使用的所有</w:t>
      </w:r>
      <w:r>
        <w:rPr>
          <w:rFonts w:hint="eastAsia" w:ascii="Times New Roman" w:hAnsi="Times New Roman" w:cs="Times New Roman"/>
        </w:rPr>
        <w:t>22种</w:t>
      </w:r>
      <w:r>
        <w:rPr>
          <w:rFonts w:ascii="Times New Roman" w:hAnsi="Times New Roman" w:cs="Times New Roman"/>
        </w:rPr>
        <w:t>羟苯酯类防腐剂。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确定各项技术内容（如技术指标、参数、公式、试验方法、检验规则等）的依据（与国际相关标准的对比情况，与国际标准不一致的，应当提供科学依据）</w:t>
      </w:r>
    </w:p>
    <w:p>
      <w:pPr>
        <w:pStyle w:val="2"/>
        <w:shd w:val="clear" w:color="auto" w:fill="FFFFFF"/>
        <w:spacing w:before="0" w:beforeAutospacing="0" w:after="0" w:afterAutospacing="0"/>
        <w:ind w:left="42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本标准</w:t>
      </w:r>
      <w:r>
        <w:rPr>
          <w:rFonts w:ascii="Times New Roman" w:hAnsi="Times New Roman" w:cs="Times New Roman"/>
        </w:rPr>
        <w:t>参考</w:t>
      </w:r>
      <w:r>
        <w:rPr>
          <w:rFonts w:hint="eastAsia" w:ascii="Times New Roman" w:hAnsi="Times New Roman" w:cs="Times New Roman"/>
        </w:rPr>
        <w:t>《化妆品卫生规范》（</w:t>
      </w:r>
      <w:r>
        <w:rPr>
          <w:rFonts w:ascii="Times New Roman" w:hAnsi="Times New Roman" w:cs="Times New Roman"/>
        </w:rPr>
        <w:t>2007</w:t>
      </w:r>
      <w:r>
        <w:rPr>
          <w:rFonts w:hint="eastAsia" w:ascii="Times New Roman" w:hAnsi="Times New Roman" w:cs="Times New Roman"/>
        </w:rPr>
        <w:t>版）“第三部分 卫生化学检验方法” 中的“十九 防腐剂”。该方法在《化妆品安全技术规范》（2015版）归入第四章“理化检验方法”中“4.7 甲基氯异噻唑啉酮等12种组分”。本标准在参考上述标准的基础上，考虑到被测化合物数量较多，且化妆品基质种类较多，改用质谱作为检测器，以提高方法的定性和抗干扰能力。本标准</w:t>
      </w:r>
      <w:r>
        <w:rPr>
          <w:rFonts w:ascii="Times New Roman" w:hAnsi="Times New Roman" w:cs="Times New Roman"/>
        </w:rPr>
        <w:t>经过</w:t>
      </w:r>
      <w:r>
        <w:rPr>
          <w:rFonts w:hint="eastAsia" w:ascii="Times New Roman" w:hAnsi="Times New Roman" w:cs="Times New Roman"/>
        </w:rPr>
        <w:t>严格的方法验证，证实了采用该方法的前处理及仪器方法，能够获得良好的准确度、精密度和较低的检测限。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征求意见的采纳情况（附《征求意见汇总处理表》、重大意见分歧的处理结果和依据）</w:t>
      </w:r>
    </w:p>
    <w:p>
      <w:pPr>
        <w:widowControl w:val="0"/>
        <w:adjustRightInd w:val="0"/>
        <w:spacing w:line="360" w:lineRule="auto"/>
        <w:ind w:left="420"/>
        <w:jc w:val="both"/>
        <w:textAlignment w:val="baseline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无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标准实施日期和实施建议</w:t>
      </w:r>
    </w:p>
    <w:p>
      <w:pPr>
        <w:widowControl w:val="0"/>
        <w:adjustRightInd w:val="0"/>
        <w:spacing w:line="360" w:lineRule="auto"/>
        <w:ind w:left="420"/>
        <w:jc w:val="both"/>
        <w:textAlignment w:val="baseline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无</w:t>
      </w:r>
    </w:p>
    <w:p>
      <w:pPr>
        <w:pStyle w:val="7"/>
        <w:widowControl w:val="0"/>
        <w:numPr>
          <w:ilvl w:val="0"/>
          <w:numId w:val="1"/>
        </w:numPr>
        <w:adjustRightInd w:val="0"/>
        <w:spacing w:before="360" w:beforeLines="150" w:line="360" w:lineRule="auto"/>
        <w:ind w:firstLineChars="0"/>
        <w:jc w:val="both"/>
        <w:textAlignment w:val="baseline"/>
        <w:rPr>
          <w:rFonts w:ascii="黑体" w:hAnsi="Arial" w:eastAsia="黑体" w:cs="Arial"/>
          <w:szCs w:val="21"/>
        </w:rPr>
      </w:pPr>
      <w:r>
        <w:rPr>
          <w:rFonts w:hint="eastAsia" w:ascii="黑体" w:hAnsi="Arial" w:eastAsia="黑体" w:cs="Arial"/>
          <w:szCs w:val="21"/>
        </w:rPr>
        <w:t>其他需要说明的事项（含涉及专利情况说明）</w:t>
      </w:r>
    </w:p>
    <w:p>
      <w:pPr>
        <w:widowControl w:val="0"/>
        <w:adjustRightInd w:val="0"/>
        <w:spacing w:line="360" w:lineRule="auto"/>
        <w:ind w:left="420"/>
        <w:jc w:val="both"/>
        <w:textAlignment w:val="baseline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无</w:t>
      </w:r>
    </w:p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3646"/>
    <w:multiLevelType w:val="multilevel"/>
    <w:tmpl w:val="04363646"/>
    <w:lvl w:ilvl="0" w:tentative="0">
      <w:start w:val="1"/>
      <w:numFmt w:val="decimal"/>
      <w:lvlText w:val="%1、"/>
      <w:lvlJc w:val="left"/>
      <w:pPr>
        <w:ind w:left="840" w:hanging="4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BC12584"/>
    <w:multiLevelType w:val="multilevel"/>
    <w:tmpl w:val="0BC12584"/>
    <w:lvl w:ilvl="0" w:tentative="0">
      <w:start w:val="1"/>
      <w:numFmt w:val="chineseCountingThousand"/>
      <w:suff w:val="space"/>
      <w:lvlText w:val="%1、"/>
      <w:lvlJc w:val="left"/>
      <w:pPr>
        <w:ind w:left="420" w:hanging="420"/>
      </w:pPr>
      <w:rPr>
        <w:rFonts w:hint="default" w:hAnsi="宋体"/>
      </w:rPr>
    </w:lvl>
    <w:lvl w:ilvl="1" w:tentative="0">
      <w:start w:val="1"/>
      <w:numFmt w:val="decimal"/>
      <w:suff w:val="space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22335A"/>
    <w:multiLevelType w:val="multilevel"/>
    <w:tmpl w:val="4322335A"/>
    <w:lvl w:ilvl="0" w:tentative="0">
      <w:start w:val="1"/>
      <w:numFmt w:val="lowerRoman"/>
      <w:lvlText w:val="%1."/>
      <w:lvlJc w:val="right"/>
      <w:pPr>
        <w:ind w:left="108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00" w:hanging="420"/>
      </w:pPr>
    </w:lvl>
    <w:lvl w:ilvl="2" w:tentative="0">
      <w:start w:val="1"/>
      <w:numFmt w:val="lowerRoman"/>
      <w:lvlText w:val="%3."/>
      <w:lvlJc w:val="right"/>
      <w:pPr>
        <w:ind w:left="1920" w:hanging="420"/>
      </w:pPr>
    </w:lvl>
    <w:lvl w:ilvl="3" w:tentative="0">
      <w:start w:val="1"/>
      <w:numFmt w:val="decimal"/>
      <w:lvlText w:val="%4."/>
      <w:lvlJc w:val="left"/>
      <w:pPr>
        <w:ind w:left="2340" w:hanging="420"/>
      </w:pPr>
    </w:lvl>
    <w:lvl w:ilvl="4" w:tentative="0">
      <w:start w:val="1"/>
      <w:numFmt w:val="lowerLetter"/>
      <w:lvlText w:val="%5)"/>
      <w:lvlJc w:val="left"/>
      <w:pPr>
        <w:ind w:left="2760" w:hanging="420"/>
      </w:pPr>
    </w:lvl>
    <w:lvl w:ilvl="5" w:tentative="0">
      <w:start w:val="1"/>
      <w:numFmt w:val="lowerRoman"/>
      <w:lvlText w:val="%6."/>
      <w:lvlJc w:val="right"/>
      <w:pPr>
        <w:ind w:left="3180" w:hanging="420"/>
      </w:pPr>
    </w:lvl>
    <w:lvl w:ilvl="6" w:tentative="0">
      <w:start w:val="1"/>
      <w:numFmt w:val="decimal"/>
      <w:lvlText w:val="%7."/>
      <w:lvlJc w:val="left"/>
      <w:pPr>
        <w:ind w:left="3600" w:hanging="420"/>
      </w:pPr>
    </w:lvl>
    <w:lvl w:ilvl="7" w:tentative="0">
      <w:start w:val="1"/>
      <w:numFmt w:val="lowerLetter"/>
      <w:lvlText w:val="%8)"/>
      <w:lvlJc w:val="left"/>
      <w:pPr>
        <w:ind w:left="4020" w:hanging="420"/>
      </w:pPr>
    </w:lvl>
    <w:lvl w:ilvl="8" w:tentative="0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E3B"/>
    <w:rsid w:val="002608C6"/>
    <w:rsid w:val="002A47AE"/>
    <w:rsid w:val="002C25AF"/>
    <w:rsid w:val="002C2B95"/>
    <w:rsid w:val="002E5EC0"/>
    <w:rsid w:val="0042256E"/>
    <w:rsid w:val="00486E80"/>
    <w:rsid w:val="004B0343"/>
    <w:rsid w:val="00586CA1"/>
    <w:rsid w:val="005B0BB7"/>
    <w:rsid w:val="005D5F7E"/>
    <w:rsid w:val="00630828"/>
    <w:rsid w:val="00692460"/>
    <w:rsid w:val="007A78EA"/>
    <w:rsid w:val="007B4364"/>
    <w:rsid w:val="00800A03"/>
    <w:rsid w:val="008C333C"/>
    <w:rsid w:val="008E44B6"/>
    <w:rsid w:val="0098376A"/>
    <w:rsid w:val="009D2393"/>
    <w:rsid w:val="00AA15A1"/>
    <w:rsid w:val="00AC54A9"/>
    <w:rsid w:val="00AE6698"/>
    <w:rsid w:val="00B11F5D"/>
    <w:rsid w:val="00BC2B84"/>
    <w:rsid w:val="00CC4484"/>
    <w:rsid w:val="00CF25F0"/>
    <w:rsid w:val="00D951B8"/>
    <w:rsid w:val="00DA6BEF"/>
    <w:rsid w:val="00DB2DD4"/>
    <w:rsid w:val="00DB5B4E"/>
    <w:rsid w:val="00E01F34"/>
    <w:rsid w:val="00E426AB"/>
    <w:rsid w:val="00E57B7A"/>
    <w:rsid w:val="00E90E3B"/>
    <w:rsid w:val="00ED0730"/>
    <w:rsid w:val="00F72AA5"/>
    <w:rsid w:val="4846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16"/>
    <w:basedOn w:val="1"/>
    <w:uiPriority w:val="0"/>
    <w:pPr>
      <w:spacing w:before="100" w:beforeAutospacing="1" w:after="100" w:afterAutospacing="1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473</Words>
  <Characters>2699</Characters>
  <Lines>22</Lines>
  <Paragraphs>6</Paragraphs>
  <TotalTime>300</TotalTime>
  <ScaleCrop>false</ScaleCrop>
  <LinksUpToDate>false</LinksUpToDate>
  <CharactersWithSpaces>3166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2018-10-23T06:05:00Z</dcterms:created>
  <dc:creator>Wang, Lexi (Shanghai)</dc:creator>
  <cp:lastModifiedBy>张鹏</cp:lastModifiedBy>
  <dcterms:modified xsi:type="dcterms:W3CDTF">2019-05-15T06:05:40Z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